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D50D" w14:textId="77777777" w:rsidR="0071532B" w:rsidRDefault="00847F36">
      <w:pPr>
        <w:spacing w:after="100"/>
        <w:jc w:val="center"/>
      </w:pPr>
      <w:r>
        <w:rPr>
          <w:b/>
          <w:bCs/>
          <w:color w:val="0D4D3A"/>
          <w:sz w:val="36"/>
          <w:szCs w:val="36"/>
        </w:rPr>
        <w:t>LE CHAMPION D'UNE NATION, LE DESTIN D'UN PEUPLE, LE SIGNAL AU MONDE</w:t>
      </w:r>
    </w:p>
    <w:p w14:paraId="5AF90551" w14:textId="77777777" w:rsidR="004F25C6" w:rsidRDefault="004F25C6">
      <w:pPr>
        <w:spacing w:after="300"/>
        <w:jc w:val="center"/>
        <w:rPr>
          <w:i/>
          <w:iCs/>
        </w:rPr>
      </w:pPr>
      <w:r>
        <w:rPr>
          <w:i/>
          <w:iCs/>
        </w:rPr>
        <w:t>Leadership stratégique et trajectoires d'émergence dans un ordre mondial en recomposition</w:t>
      </w:r>
    </w:p>
    <w:p w14:paraId="1E9B6C98" w14:textId="598EEBCD" w:rsidR="0071532B" w:rsidRDefault="00847F36">
      <w:pPr>
        <w:spacing w:after="300"/>
        <w:jc w:val="center"/>
      </w:pPr>
      <w:r>
        <w:rPr>
          <w:color w:val="C9A227"/>
          <w:sz w:val="20"/>
          <w:szCs w:val="20"/>
        </w:rPr>
        <w:t>━━━━━━━━━━━━━━━━━━━━━━━━━━</w:t>
      </w:r>
    </w:p>
    <w:p w14:paraId="4BA1CAED" w14:textId="77777777" w:rsidR="0071532B" w:rsidRDefault="00847F36">
      <w:pPr>
        <w:spacing w:after="400"/>
        <w:jc w:val="center"/>
      </w:pPr>
      <w:r>
        <w:rPr>
          <w:b/>
          <w:bCs/>
          <w:sz w:val="26"/>
          <w:szCs w:val="26"/>
        </w:rPr>
        <w:t>Dr. Adama Z. Guilavogui, PhD, JD</w:t>
      </w:r>
    </w:p>
    <w:p w14:paraId="18F2B96C" w14:textId="77777777" w:rsidR="0071532B" w:rsidRDefault="00847F36">
      <w:pPr>
        <w:spacing w:before="200" w:after="200"/>
        <w:jc w:val="center"/>
      </w:pPr>
      <w:r>
        <w:rPr>
          <w:b/>
          <w:bCs/>
          <w:smallCaps/>
        </w:rPr>
        <w:t>RÉSUMÉ</w:t>
      </w:r>
    </w:p>
    <w:p w14:paraId="32C0171D" w14:textId="0E3E3DBE" w:rsidR="0071532B" w:rsidRDefault="00847F36">
      <w:pPr>
        <w:spacing w:after="200"/>
        <w:ind w:left="360" w:right="360"/>
        <w:jc w:val="both"/>
      </w:pPr>
      <w:r>
        <w:rPr>
          <w:i/>
          <w:iCs/>
          <w:sz w:val="22"/>
          <w:szCs w:val="22"/>
        </w:rPr>
        <w:t>Le présent article analyse l'investiture de Son Excellence le Général Mamadi Doumbouya, le 17 janvier 2026, à travers le prisme du modèle SIGMA (Stabilité Institutionnelle et Gouvernance Macro-financière Appliquée) et du Paradigme D. Cette analyse démontre que cet événement historique constitue le début de matérialisation du scénario de consolidation institutionnelle - trajectoire développée dans le premier volume de la série « Le Signal du Consensus », paru en décembre 2025, qui établit le diagnostic institutionnel, présente les trois scénarios prospectifs et démontre l'impératif du Paradigme D.</w:t>
      </w:r>
    </w:p>
    <w:p w14:paraId="0E4373D4" w14:textId="52DFD88E" w:rsidR="0071532B" w:rsidRDefault="00847F36">
      <w:pPr>
        <w:spacing w:after="200"/>
        <w:ind w:left="360" w:right="360"/>
        <w:jc w:val="both"/>
      </w:pPr>
      <w:r>
        <w:rPr>
          <w:i/>
          <w:iCs/>
          <w:sz w:val="22"/>
          <w:szCs w:val="22"/>
        </w:rPr>
        <w:t>L'article examine les conditions géostratégiques contemporaines qui rendent impératif ce processus de transformation, avant d'exposer les mécanismes de transmission S-R-I-M (Stabilité → Risque → Investissements → Macro-finances) et les six piliers opérationnels du scénario de consolidation. L'analyse conclut que la conjonction d'un leadership transformationnel et stratégique éprouvé, d'un consensus national manifesté par le score électoral de 86,72%, et d'une fenêtre d'opportunité historique (Programme Simandou 2040, fonds souverain, dette publique réduite, notation S&amp;P B+, PIB rebasé à 36,3 milliards USD) crée les conditions optimales pour l'enclenchement de la trajectoire de consolidation. Le second volume du Signal du Consensus « Mécanismes de Transmission et Perspectives Stratégiques », paraît dans les semaines à venir et achève la fondation analytique de cette réflexion prospective sur le développement de la Guinée aux horizons 2040 et 2055.</w:t>
      </w:r>
    </w:p>
    <w:p w14:paraId="4CBF39A6" w14:textId="77777777" w:rsidR="0071532B" w:rsidRDefault="00847F36">
      <w:pPr>
        <w:spacing w:after="400"/>
        <w:ind w:left="360" w:right="360"/>
        <w:jc w:val="both"/>
      </w:pPr>
      <w:r>
        <w:rPr>
          <w:b/>
          <w:bCs/>
          <w:sz w:val="22"/>
          <w:szCs w:val="22"/>
        </w:rPr>
        <w:t xml:space="preserve">Mots-clés : </w:t>
      </w:r>
      <w:r>
        <w:rPr>
          <w:sz w:val="22"/>
          <w:szCs w:val="22"/>
        </w:rPr>
        <w:t>stabilité institutionnelle, modèle SIGMA, Paradigme D, scénario de consolidation, mécanisme S-R-I-M, Simandou, gouvernance par prévisibilité, émergence économique, Guinée.</w:t>
      </w:r>
    </w:p>
    <w:p w14:paraId="5F136088" w14:textId="77777777" w:rsidR="0071532B" w:rsidRDefault="00847F36">
      <w:pPr>
        <w:spacing w:before="400" w:after="200"/>
        <w:jc w:val="center"/>
      </w:pPr>
      <w:r>
        <w:rPr>
          <w:b/>
          <w:bCs/>
          <w:color w:val="0D4D3A"/>
          <w:sz w:val="32"/>
          <w:szCs w:val="32"/>
        </w:rPr>
        <w:t>INTRODUCTION</w:t>
      </w:r>
    </w:p>
    <w:p w14:paraId="056B2956" w14:textId="4DE737CD" w:rsidR="0071532B" w:rsidRDefault="00847F36">
      <w:pPr>
        <w:spacing w:after="200"/>
        <w:jc w:val="both"/>
      </w:pPr>
      <w:r>
        <w:rPr>
          <w:color w:val="000000"/>
        </w:rPr>
        <w:t>Le monde traverse une période de mutations profondes dont les implications pour les nations africaines s'avèrent déterminantes. L'ordre international vacille, les alliances se recomposent selon des logiques économiques nouvelles. L'Afrique, qui détient 30% des réserves minérales mondiales, 60% des terres arables non exploitées et une population jeune représentant bientôt le quart de l'humanité, se trouve au cœur d'une compétition géoéconomique sans précédent. Ces atouts peuvent constituer soit un tremplin vers la prospérité, soit un facteur de vulnérabilité, selon la qualité du leadership et des institutions.</w:t>
      </w:r>
    </w:p>
    <w:p w14:paraId="34C137C9" w14:textId="77777777" w:rsidR="0071532B" w:rsidRDefault="00847F36">
      <w:pPr>
        <w:spacing w:after="200"/>
        <w:jc w:val="both"/>
      </w:pPr>
      <w:r>
        <w:rPr>
          <w:color w:val="000000"/>
        </w:rPr>
        <w:t xml:space="preserve">C'est dans ce contexte que le 17 janvier 2026, SE le Général Mamadi Doumbouya prête serment au stade Général Lansana Conté de Nongo, en présence de Chefs d'État alliés, des représentants des cinq membres permanents du Conseil de sécurité, des institutions internationales et des pays amis et partenaires. Cet acte solennel marque le coup d'envoi de la Cinquième République et le </w:t>
      </w:r>
      <w:r>
        <w:rPr>
          <w:color w:val="000000"/>
        </w:rPr>
        <w:lastRenderedPageBreak/>
        <w:t>début de matérialisation du scénario de consolidation institutionnelle développé dans « Le Signal du Consensus » (Volume 1, décembre 2025). Le score électoral de 86,72% matérialise un consensus national exceptionnel, confirmé par la présence des anciens candidats et de six anciens Premiers ministres à la cérémonie d'investiture.</w:t>
      </w:r>
    </w:p>
    <w:p w14:paraId="26B7FEA2" w14:textId="06859A1B" w:rsidR="0071532B" w:rsidRDefault="00847F36">
      <w:pPr>
        <w:spacing w:after="200"/>
        <w:jc w:val="both"/>
      </w:pPr>
      <w:r>
        <w:rPr>
          <w:color w:val="000000"/>
        </w:rPr>
        <w:t>C'est précisément cette conjonction exceptionnelle de facteurs favorables que le présent article se propose d'analyser à travers le prisme du modèle SIGMA et du Paradigme D. La première partie de cette publication examine la dimension du leadership transformationnel et stratégique incarnée par SE le Général Doumbouya - Le Champion d'une Nation. La deuxième partie présente les trajectoires macro-financières visées et les objectifs du scénario de consolidation - Le Destin d'un Peuple. La troisième partie analyse les mécanismes de transmission qui relient la stabilité institutionnelle aux performances économiques et le signal envoyé à la communauté internationale - Le Signal au Monde.</w:t>
      </w:r>
    </w:p>
    <w:p w14:paraId="3981F3C0" w14:textId="77777777" w:rsidR="00782FE0" w:rsidRDefault="00782FE0" w:rsidP="00782FE0">
      <w:pPr>
        <w:jc w:val="center"/>
      </w:pPr>
    </w:p>
    <w:p w14:paraId="35C88F5C" w14:textId="6C69FFA9" w:rsidR="0071532B" w:rsidRDefault="00847F36" w:rsidP="00782FE0">
      <w:pPr>
        <w:jc w:val="center"/>
      </w:pPr>
      <w:r>
        <w:rPr>
          <w:b/>
          <w:bCs/>
          <w:color w:val="0D4D3A"/>
          <w:sz w:val="32"/>
          <w:szCs w:val="32"/>
        </w:rPr>
        <w:t>I. LE CHAMPION D'UNE NATION</w:t>
      </w:r>
    </w:p>
    <w:p w14:paraId="6A307DD5" w14:textId="77777777" w:rsidR="0071532B" w:rsidRDefault="00847F36">
      <w:pPr>
        <w:spacing w:after="300"/>
        <w:jc w:val="center"/>
      </w:pPr>
      <w:r>
        <w:rPr>
          <w:i/>
          <w:iCs/>
        </w:rPr>
        <w:t>Le leadership transformationnel et stratégique dans un contexte géopolitique critique</w:t>
      </w:r>
    </w:p>
    <w:p w14:paraId="6158442C" w14:textId="77777777" w:rsidR="0071532B" w:rsidRDefault="00847F36">
      <w:pPr>
        <w:spacing w:before="300" w:after="150"/>
      </w:pPr>
      <w:r>
        <w:rPr>
          <w:b/>
          <w:bCs/>
          <w:i/>
          <w:iCs/>
        </w:rPr>
        <w:t>La Variable L du Paradigme D : fondements conceptuels</w:t>
      </w:r>
    </w:p>
    <w:p w14:paraId="18779CDA" w14:textId="1962D1CD" w:rsidR="00075581" w:rsidRDefault="00071B33">
      <w:pPr>
        <w:spacing w:before="300" w:after="150"/>
        <w:rPr>
          <w:color w:val="000000"/>
        </w:rPr>
      </w:pPr>
      <w:r>
        <w:rPr>
          <w:color w:val="000000"/>
        </w:rPr>
        <w:t xml:space="preserve">Le Paradigme D, formalisé </w:t>
      </w:r>
      <w:r w:rsidR="00A13CDB">
        <w:rPr>
          <w:color w:val="000000"/>
        </w:rPr>
        <w:t>p</w:t>
      </w:r>
      <w:r>
        <w:rPr>
          <w:color w:val="000000"/>
        </w:rPr>
        <w:t>ropose une grille de lecture systémique, identifiant six variables interdépendantes qui modulent la trajectoire de développement d'une nation. Au sein de cet édifice conceptuel, la Variable L - Le Leadership transformationnel et stratégique - se distingue par son caractère singulier et prépondérant. Elle agit comme le catalyseur indispensable, conditionnant l'efficience et l'orientation de toutes les autres composantes. C'est un fait avéré : les ressources (R), aussi abondantes soient-elles, demeurent stériles en l'absence de vision stratégique claire ; les projets (P) les plus ambitieux avortent sans une capacité de coordination et d'exécution rigoureuse. La dimension temporelle (T), facteur d'opportunité ou de péril, s'accélère ou freine selon la qualité du pilotage politique ; le capital humain (H) ne peut s'épanouir sans des politiques publiques cohérentes, tandis que la stabilité institutionnelle (S) ne résiste durablement qu'à l'aune d'une volonté politique inébranlable. </w:t>
      </w:r>
    </w:p>
    <w:p w14:paraId="6D928A2F" w14:textId="1D5B3B8E" w:rsidR="000C7A1C" w:rsidRDefault="00075581">
      <w:pPr>
        <w:spacing w:before="300" w:after="150"/>
        <w:rPr>
          <w:color w:val="000000"/>
        </w:rPr>
      </w:pPr>
      <w:r>
        <w:rPr>
          <w:color w:val="000000"/>
        </w:rPr>
        <w:t xml:space="preserve">SE le Général Mamadi Doumbouya incarne, par son action, cette Variable L dans le contexte guinéen contemporain. Son parcours présente une caractéristique distinctive, un pedigree opérationnel d'une portée exceptionnelle : l'expérience forgée au sein de contextes opérationnels de haute intensité, où chaque décision engage des conséquences stratégiques majeures, alliée à une pratique soutenue sur des théâtres militaires internationaux d'exigence, </w:t>
      </w:r>
      <w:r w:rsidR="004E2C42">
        <w:rPr>
          <w:color w:val="000000"/>
        </w:rPr>
        <w:t>ont</w:t>
      </w:r>
      <w:r>
        <w:rPr>
          <w:color w:val="000000"/>
        </w:rPr>
        <w:t xml:space="preserve"> permis de cristalliser un ensemble de compétences fondamentales en commandement conventionnel et asymétrique, ainsi qu'en planification stratégique, qui s'avèrent être un atout inestimable, car directement transférable aux impératifs complexes de la gouvernance moderne et de la compétition économique internationale. Le XXIe siècle ne se caractérise plus uniquement par les conflits militaires, mais par une forme de guerre économique permanente, un affrontement constant où les nations se doivent de défendre leurs intérêts vitaux avec la même rigueur méthodologique et la même détermination que </w:t>
      </w:r>
      <w:r w:rsidR="00256168">
        <w:rPr>
          <w:color w:val="000000"/>
        </w:rPr>
        <w:t>lors d’un engagement militaire traditionnel</w:t>
      </w:r>
      <w:r>
        <w:rPr>
          <w:color w:val="000000"/>
        </w:rPr>
        <w:t>.</w:t>
      </w:r>
    </w:p>
    <w:p w14:paraId="17510138" w14:textId="77777777" w:rsidR="000C7A1C" w:rsidRDefault="000C7A1C">
      <w:pPr>
        <w:spacing w:before="300" w:after="150"/>
        <w:rPr>
          <w:color w:val="000000"/>
        </w:rPr>
      </w:pPr>
    </w:p>
    <w:p w14:paraId="1F81AE1B" w14:textId="29CC226A" w:rsidR="0071532B" w:rsidRDefault="00847F36">
      <w:pPr>
        <w:spacing w:before="300" w:after="150"/>
      </w:pPr>
      <w:r>
        <w:rPr>
          <w:b/>
          <w:bCs/>
          <w:i/>
          <w:iCs/>
        </w:rPr>
        <w:lastRenderedPageBreak/>
        <w:t>L'activation de la Variable L : dimensions et implications</w:t>
      </w:r>
    </w:p>
    <w:p w14:paraId="4D011188" w14:textId="5F665332" w:rsidR="0071532B" w:rsidRDefault="00847F36">
      <w:pPr>
        <w:spacing w:after="200"/>
        <w:jc w:val="both"/>
      </w:pPr>
      <w:r>
        <w:rPr>
          <w:color w:val="000000"/>
        </w:rPr>
        <w:t>L'investiture du 17 janvier 2026 fait passer la Variable L à pleine puissance opérationnelle dans le système guinéen. Plusieurs éléments concourent à cette activation. Le mandat de sept ans établit d'abord un horizon temporel stable, une période d'amorce indispensable pour engager les réformes structurelles et lancer les grands chantiers de transformation nationale. Cette durée correspond aux cycles initiaux d'investissement des grands projets miniers et infrastructurels. Toutefois, les projets structurants de long terme - transformation industrielle, diversification économique, émergence - dépassent nécessairement ce cadre temporel initial : c'est précisément pourquoi le programme Simandou 2040 s'inscrit sur un horizon de quinze ans et l</w:t>
      </w:r>
      <w:r w:rsidR="007F3FF1">
        <w:rPr>
          <w:color w:val="000000"/>
        </w:rPr>
        <w:t>’approch</w:t>
      </w:r>
      <w:r w:rsidR="001B34E4">
        <w:rPr>
          <w:color w:val="000000"/>
        </w:rPr>
        <w:t>e</w:t>
      </w:r>
      <w:r>
        <w:rPr>
          <w:color w:val="000000"/>
        </w:rPr>
        <w:t xml:space="preserve"> de développement intégral sur trente ans à l'horizon 2055. Les sept premières années posent les fondations ; les décennies suivantes voient l'édifice s'élever.</w:t>
      </w:r>
    </w:p>
    <w:p w14:paraId="3D0A7270" w14:textId="7AA529D4" w:rsidR="0071532B" w:rsidRDefault="00847F36">
      <w:pPr>
        <w:spacing w:after="200"/>
        <w:jc w:val="both"/>
      </w:pPr>
      <w:r>
        <w:rPr>
          <w:color w:val="000000"/>
        </w:rPr>
        <w:t>Le programme « Simandou 2040 » annoncé lors du discours d'investiture constitue ensuite la matérialisation opérationnelle de la vision stratégique. Ce programme établit des objectifs quantifiés, des jalons intermédiaires et des mécanismes de suivi qui transforment l'intention politique en feuille de route exécutable. L'articulation explicite entre l'exploitation du gisement de Simandou et la transformation structurelle de l'économie guinéenne témoigne d'une compréhension des enjeux de l</w:t>
      </w:r>
      <w:r w:rsidR="000702F6">
        <w:rPr>
          <w:color w:val="000000"/>
        </w:rPr>
        <w:t>e paradoxe</w:t>
      </w:r>
      <w:r>
        <w:rPr>
          <w:color w:val="000000"/>
        </w:rPr>
        <w:t xml:space="preserve"> des ressources et de la volonté d'y échapper. La transformation locale d'une partie de la production minière, la constitution d'un fonds souverain, le développement du capital humain : ces orientations traduisent une vision de long terme qui dépasse la simple extraction rentière.</w:t>
      </w:r>
    </w:p>
    <w:p w14:paraId="54D4F8F8" w14:textId="3834DE1C" w:rsidR="0071532B" w:rsidRDefault="00F70C11">
      <w:pPr>
        <w:spacing w:after="200"/>
        <w:jc w:val="both"/>
      </w:pPr>
      <w:r>
        <w:rPr>
          <w:color w:val="000000"/>
        </w:rPr>
        <w:t>Comme signalé plus haut, la portée du suffrage obtenue, la présence à la cérémonie d'investiture des anciens candidats à l'élection présidentielle et l’adhésion massive des populations confirment le ralliement des forces politiques internes au projet de consolidation. Cette unité nationale, rare sur le continent africain au lendemain d'élections présidentielles, constitue un actif institutionnel majeur.</w:t>
      </w:r>
    </w:p>
    <w:p w14:paraId="54B2469B" w14:textId="77777777" w:rsidR="0071532B" w:rsidRDefault="00847F36">
      <w:pPr>
        <w:spacing w:before="200" w:after="200"/>
        <w:ind w:left="720" w:right="720"/>
        <w:jc w:val="center"/>
      </w:pPr>
      <w:r>
        <w:rPr>
          <w:i/>
          <w:iCs/>
        </w:rPr>
        <w:t>« Ma main reste toujours tendue à toutes les filles et tous les fils de Guinée. »</w:t>
      </w:r>
      <w:r>
        <w:rPr>
          <w:sz w:val="22"/>
          <w:szCs w:val="22"/>
        </w:rPr>
        <w:t xml:space="preserve"> — SE le Général Mamadi Doumbouya, 17 janvier 2026</w:t>
      </w:r>
    </w:p>
    <w:p w14:paraId="1C45768F" w14:textId="77777777" w:rsidR="00404249" w:rsidRDefault="00404249" w:rsidP="00404249">
      <w:pPr>
        <w:jc w:val="center"/>
      </w:pPr>
    </w:p>
    <w:p w14:paraId="28CA091E" w14:textId="73158969" w:rsidR="0071532B" w:rsidRDefault="00847F36" w:rsidP="00404249">
      <w:pPr>
        <w:jc w:val="center"/>
      </w:pPr>
      <w:r>
        <w:rPr>
          <w:b/>
          <w:bCs/>
          <w:color w:val="0D4D3A"/>
          <w:sz w:val="32"/>
          <w:szCs w:val="32"/>
        </w:rPr>
        <w:t>II. LE DESTIN D'UN PEUPLE</w:t>
      </w:r>
    </w:p>
    <w:p w14:paraId="69CC908C" w14:textId="77777777" w:rsidR="0071532B" w:rsidRDefault="00847F36">
      <w:pPr>
        <w:spacing w:after="300"/>
        <w:jc w:val="center"/>
      </w:pPr>
      <w:r>
        <w:rPr>
          <w:i/>
          <w:iCs/>
        </w:rPr>
        <w:t>Les trajectoires macro-financières du scénario de consolidation</w:t>
      </w:r>
    </w:p>
    <w:p w14:paraId="67D24417" w14:textId="77777777" w:rsidR="0071532B" w:rsidRDefault="00847F36">
      <w:pPr>
        <w:spacing w:before="300" w:after="150"/>
      </w:pPr>
      <w:r>
        <w:rPr>
          <w:b/>
          <w:bCs/>
          <w:i/>
          <w:iCs/>
        </w:rPr>
        <w:t>Diagnostic SIGMA 2025 : le point de départ</w:t>
      </w:r>
    </w:p>
    <w:p w14:paraId="088B2284" w14:textId="77777777" w:rsidR="0071532B" w:rsidRDefault="00847F36">
      <w:pPr>
        <w:spacing w:after="200"/>
        <w:jc w:val="both"/>
      </w:pPr>
      <w:r>
        <w:rPr>
          <w:color w:val="000000"/>
        </w:rPr>
        <w:t>Tout raisonnement stratégique commence par une évaluation rigoureuse de la situation initiale. Le diagnostic SIGMA positionne la Guinée en 2025 sur une base de départ contrastée, présentant des atouts considérables mais aussi des vulnérabilités qui exigent attention. Cette analyse conditionne la définition réaliste des objectifs et des moyens du scénario de consolidation.</w:t>
      </w:r>
    </w:p>
    <w:p w14:paraId="5CB7D49A" w14:textId="5266350B" w:rsidR="0071532B" w:rsidRDefault="00847F36">
      <w:pPr>
        <w:spacing w:after="200"/>
        <w:jc w:val="both"/>
      </w:pPr>
      <w:r>
        <w:rPr>
          <w:color w:val="000000"/>
        </w:rPr>
        <w:t xml:space="preserve">Les atouts structurels de l'économie guinéenne ressortent clairement des données rebasées publiées par l'Institut National de la Statistique en 2024. Le PIB nominal atteint désormais 36,3 milliards USD, révisant à la hausse les estimations antérieures et plaçant la Guinée parmi les économies significatives de la sous-région ouest-africaine. Le PIB par habitant de 2 068 USD positionne le pays dans la catégorie des revenus intermédiaires à tranche inférieure. Le ratio dette publique/PIB </w:t>
      </w:r>
      <w:r>
        <w:rPr>
          <w:color w:val="000000"/>
        </w:rPr>
        <w:lastRenderedPageBreak/>
        <w:t xml:space="preserve">de 29%, considérablement révisé à la baisse par le </w:t>
      </w:r>
      <w:r w:rsidR="00CF52C1">
        <w:rPr>
          <w:color w:val="000000"/>
        </w:rPr>
        <w:t>rebasage</w:t>
      </w:r>
      <w:r>
        <w:rPr>
          <w:color w:val="000000"/>
        </w:rPr>
        <w:t>, constitue l'un des plus faibles d'Afrique subsaharienne et confère à l'État guinéen une marge de manœuvre budgétaire que peu de pays comparables possèdent. La première notation souveraine S&amp;P B+ avec perspective stable, obtenue en septembre 2025, ouvre l'accès aux marchés internationaux de capitaux.</w:t>
      </w:r>
    </w:p>
    <w:p w14:paraId="168223C6" w14:textId="0B521487" w:rsidR="0071532B" w:rsidRDefault="00847F36">
      <w:pPr>
        <w:spacing w:after="200"/>
        <w:jc w:val="both"/>
      </w:pPr>
      <w:r>
        <w:rPr>
          <w:color w:val="000000"/>
        </w:rPr>
        <w:t>Les vulnérabilités identifiées par le diagnostic SIGMA commandent toutefois une vigilance soutenue. Les réserves de change de 1,2 mois d'importations exposent l'économie aux chocs externes. Le déficit courant de 19,3% du PIB pèse sur la balance des paiements. Le taux de pauvreté de 43,7% rappelle que près de la moitié de la population attend encore les dividendes du développement. L'économie informelle, estimée à 57,8% du PIB, et l'emploi informel, qui concerne 95,6% des travailleurs, signalent une économie qui fonctionne largement en dehors des structures formelles.</w:t>
      </w:r>
    </w:p>
    <w:p w14:paraId="19A314E9" w14:textId="77777777" w:rsidR="0071532B" w:rsidRDefault="00847F36">
      <w:pPr>
        <w:spacing w:before="300" w:after="150"/>
      </w:pPr>
      <w:r>
        <w:rPr>
          <w:b/>
          <w:bCs/>
          <w:i/>
          <w:iCs/>
        </w:rPr>
        <w:t>L'effet Simandou : catalyseur de la transformation</w:t>
      </w:r>
    </w:p>
    <w:p w14:paraId="2065E80B" w14:textId="77777777" w:rsidR="0071532B" w:rsidRDefault="00847F36">
      <w:pPr>
        <w:spacing w:after="200"/>
        <w:jc w:val="both"/>
      </w:pPr>
      <w:r>
        <w:rPr>
          <w:color w:val="000000"/>
        </w:rPr>
        <w:t>Le projet Simandou constitue le principal catalyseur du scénario de consolidation. Avec ses 4,7 milliards de tonnes de réserves de minerai de fer à haute teneur (65-66%), ce gisement représente l'un des plus importants au monde non encore exploité. Les investissements mobilisés, estimés entre 15 et 20 milliards USD incluant les infrastructures ferroviaires et portuaires, en font l'un des plus grands projets miniers de l'histoire africaine. Les revenus potentiels pour l'État guinéen, évalués entre 700 millions et 1,5 milliard USD annuellement à plein régime, transforment radicalement la capacité d'action publique.</w:t>
      </w:r>
    </w:p>
    <w:p w14:paraId="0083A6B9" w14:textId="77777777" w:rsidR="0071532B" w:rsidRDefault="00847F36">
      <w:pPr>
        <w:spacing w:after="200"/>
        <w:jc w:val="both"/>
      </w:pPr>
      <w:r>
        <w:rPr>
          <w:color w:val="000000"/>
        </w:rPr>
        <w:t>Dans le contexte géostratégique actuel, où le fer constitue un intrant essentiel pour l'industrie, les infrastructures et la transition énergétique mondiale, la Guinée détient avec Simandou un levier de négociation considérable. Le programme « Simandou 2040 » annoncé par SE le Général Doumbouya positionne explicitement ce projet comme un instrument de transformation nationale et non comme une simple source de rente. La transformation locale d'une partie de la production (objectif de 30%), le développement du contenu local (objectif de 50%), la constitution d'un fonds souverain alimenté par 30 à 40% des revenus miniers : ces orientations témoignent d'une compréhension des conditions nécessaires pour échapper au piège de la malédiction des ressources.</w:t>
      </w:r>
    </w:p>
    <w:p w14:paraId="559FA793" w14:textId="77777777" w:rsidR="0071532B" w:rsidRDefault="00847F36">
      <w:pPr>
        <w:spacing w:before="300" w:after="150"/>
      </w:pPr>
      <w:r>
        <w:rPr>
          <w:b/>
          <w:bCs/>
          <w:i/>
          <w:iCs/>
        </w:rPr>
        <w:t>Les six piliers opérationnels</w:t>
      </w:r>
    </w:p>
    <w:p w14:paraId="68EC9E39" w14:textId="77777777" w:rsidR="0071532B" w:rsidRDefault="00847F36">
      <w:pPr>
        <w:spacing w:after="200"/>
        <w:jc w:val="both"/>
      </w:pPr>
      <w:r>
        <w:rPr>
          <w:color w:val="000000"/>
        </w:rPr>
        <w:t>La réalisation du scénario de consolidation requiert l'action simultanée sur six piliers opérationnels interdépendants qui constituent la déclinaison pratique des principes du modèle SIGMA et du Paradigme D.</w:t>
      </w:r>
    </w:p>
    <w:p w14:paraId="587EE49F" w14:textId="60994AEE" w:rsidR="0071532B" w:rsidRDefault="00847F36">
      <w:pPr>
        <w:spacing w:after="200"/>
        <w:jc w:val="both"/>
      </w:pPr>
      <w:r>
        <w:rPr>
          <w:color w:val="000000"/>
        </w:rPr>
        <w:t xml:space="preserve">Le premier pilier - la prévisibilité institutionnelle - opérationnalise les Variables S (Stabilité) et L (Leadership) du Paradigme D, car sans leadership éclairé, la stabilité demeure fragile, et sans stabilité, le leadership ne peut déployer sa vision. Ce pilier repose sur un principe cardinal: gouverner, c'est prévoir. La gouvernance par prévisibilité vise à consolider l'État de droit et la gouvernance générale de l'État, à assurer une gestion rigoureuse des ressources nationales, leur amélioration continue et leur orientation vers des investissements productifs qui conduisent aux transformations structurelles préétablies et réajustées à l'aune des réalités du terrain. Elle implique également de garantir l'indépendance de la justice, d'assurer la transparence décisionnelle et de maintenir un cadre réglementaire stable qui inspire confiance aux agents économiques. Le </w:t>
      </w:r>
      <w:r>
        <w:rPr>
          <w:color w:val="000000"/>
        </w:rPr>
        <w:lastRenderedPageBreak/>
        <w:t>deuxième pilier - la gouvernance des finances publiques - traduit la Variable R (Ressources) en capacité d'action publique : la mobilisation efficace des ressources nationales, à travers l'augmentation des recettes fiscales de 14% à 22% du PIB, la rationalisation des dépenses et le maintien de la soutenabilité de la dette, conditionne le financement de tous les autres piliers. Le troisième pilier - le déploiement des infrastructures - incarne la Variable P (Projets), transformant les ressources mobilisées en réalisations tangibles : extension du réseau routier, augmentation du taux d'électrification de 25% à 80%, et triplement des réserves de change.</w:t>
      </w:r>
    </w:p>
    <w:p w14:paraId="6DE92491" w14:textId="77777777" w:rsidR="009C4EEE" w:rsidRDefault="00847F36" w:rsidP="009C4EEE">
      <w:pPr>
        <w:spacing w:after="200"/>
        <w:jc w:val="both"/>
      </w:pPr>
      <w:r>
        <w:rPr>
          <w:color w:val="000000"/>
        </w:rPr>
        <w:t>Le quatrième pilier - le capital humain - donne corps à la Variable H, reconnaissant que la richesse d'une nation réside avant tout dans ses femmes et ses hommes : investissement dans la scolarisation universelle, augmentation de la densité médicale, développement de l'inclusion financière et réduction de la pauvreté constituent les vecteurs de cette valorisation du potentiel humain guinéen. Le cinquième pilier - la transformation du secteur minier - articule les Variables R et P dans une logique de création de valeur ajoutée nationale : il ne s'agit plus seulement d'extraire les ressources mais de les transformer localement (objectif de 30%) et d'accroître le contenu local (objectif de 50%), rompant ainsi avec le modèle rentier qui a caractérisé tant d'économies africaines. Le sixième pilier - le fonds souverain - matérialise la Variable T (dimension temporelle) en instituant un mécanisme d'épargne intergénérationnelle, avec un objectif de capitalisation de 30 à 50 milliards USD à l'horizon 2040, garantissant que les générations futures bénéficient elles aussi de la richesse minière nationale. La prévisibilité institutionnelle instaurée par l'investiture du Président garantit l'environnement stable et propice qui permet au programme Simandou 2040 de jouer son rôle de catalyseur transversal : ses revenus alimentent la gouvernance des finances publiques (Pilier 2), ses infrastructures ferroviaires et portuaires incarnent les projets structurants (Pilier 3), sa transformation locale du minerai de fer concrétise la rupture avec le modèle rentier (Pilier 5), et ses recettes abondent le fonds souverain intergénérationnel (Pilier 6) - le tout au service du développement du capital humain guinéen (Pilier 4).</w:t>
      </w:r>
    </w:p>
    <w:p w14:paraId="5A7599BF" w14:textId="77777777" w:rsidR="0049283D" w:rsidRDefault="0049283D" w:rsidP="009C4EEE">
      <w:pPr>
        <w:spacing w:after="200"/>
        <w:jc w:val="both"/>
      </w:pPr>
    </w:p>
    <w:p w14:paraId="1C0596E6" w14:textId="68F357A1" w:rsidR="0071532B" w:rsidRPr="009C4EEE" w:rsidRDefault="00847F36" w:rsidP="0049283D">
      <w:pPr>
        <w:spacing w:after="200"/>
        <w:jc w:val="center"/>
        <w:rPr>
          <w:color w:val="000000"/>
        </w:rPr>
      </w:pPr>
      <w:r>
        <w:rPr>
          <w:b/>
          <w:bCs/>
          <w:color w:val="0D4D3A"/>
          <w:sz w:val="32"/>
          <w:szCs w:val="32"/>
        </w:rPr>
        <w:t>III. LE SIGNAL AU MONDE</w:t>
      </w:r>
    </w:p>
    <w:p w14:paraId="1D7AC368" w14:textId="77777777" w:rsidR="0071532B" w:rsidRDefault="00847F36">
      <w:pPr>
        <w:spacing w:after="300"/>
        <w:jc w:val="center"/>
      </w:pPr>
      <w:r>
        <w:rPr>
          <w:i/>
          <w:iCs/>
        </w:rPr>
        <w:t>Le mécanisme de transmission et le message à la communauté internationale</w:t>
      </w:r>
    </w:p>
    <w:p w14:paraId="09A73C0F" w14:textId="77777777" w:rsidR="0071532B" w:rsidRDefault="00847F36">
      <w:pPr>
        <w:spacing w:before="300" w:after="150"/>
      </w:pPr>
      <w:r>
        <w:rPr>
          <w:b/>
          <w:bCs/>
          <w:i/>
          <w:iCs/>
        </w:rPr>
        <w:t>Architecture du mécanisme S-R-I-M</w:t>
      </w:r>
    </w:p>
    <w:p w14:paraId="6FB7C5AA" w14:textId="77777777" w:rsidR="0071532B" w:rsidRDefault="00847F36">
      <w:pPr>
        <w:spacing w:after="200"/>
        <w:jc w:val="both"/>
      </w:pPr>
      <w:r>
        <w:rPr>
          <w:color w:val="000000"/>
        </w:rPr>
        <w:t>Le modèle SIGMA repose sur le mécanisme de transmission S-R-I-M (Stabilité → Risque → Investissements → Macro-finances), qui constitue la chaîne causale reliant la qualité institutionnelle aux performances économiques. Ce mécanisme, fondé sur une abondante littérature empirique en économie institutionnelle, opérationnalise les intuitions de Douglass North sur le rôle des institutions dans le développement économique et les travaux d'Acemoglu, Johnson et Robinson sur les origines institutionnelles de la prospérité des nations.</w:t>
      </w:r>
    </w:p>
    <w:p w14:paraId="78271021" w14:textId="77777777" w:rsidR="0071532B" w:rsidRDefault="00847F36">
      <w:pPr>
        <w:spacing w:after="200"/>
        <w:jc w:val="both"/>
      </w:pPr>
      <w:r>
        <w:rPr>
          <w:color w:val="000000"/>
        </w:rPr>
        <w:t>Le premier canal relie la Stabilité au Risque perçu : +10 points ISI entraîne -150 à 200 points de base sur les spreads souverains. Le deuxième canal relie le Risque aux Investissements : l'élasticité IDE/risque (1,2-1,5) signifie qu'une réduction de 10% du risque génère 12-15% de hausse des investissements.</w:t>
      </w:r>
    </w:p>
    <w:p w14:paraId="0DA2A81E" w14:textId="77777777" w:rsidR="0071532B" w:rsidRDefault="00847F36">
      <w:pPr>
        <w:spacing w:after="200"/>
        <w:jc w:val="both"/>
      </w:pPr>
      <w:r>
        <w:rPr>
          <w:color w:val="000000"/>
        </w:rPr>
        <w:lastRenderedPageBreak/>
        <w:t>Le troisième canal relie les Investissements aux fondamentaux Macro-financiers (élasticités recettes fiscales 0,8-1,0 ; crédit/investissement 0,6-0,8). Le quatrième canal boucle le circuit : les progrès économiques renforcent la stabilité institutionnelle, créant un cercle vertueux.</w:t>
      </w:r>
    </w:p>
    <w:p w14:paraId="3418508E" w14:textId="77777777" w:rsidR="0071532B" w:rsidRDefault="00847F36">
      <w:pPr>
        <w:spacing w:before="300" w:after="150"/>
      </w:pPr>
      <w:r>
        <w:rPr>
          <w:b/>
          <w:bCs/>
          <w:i/>
          <w:iCs/>
        </w:rPr>
        <w:t>La dimension communicationnelle : le Signal du Consensus</w:t>
      </w:r>
    </w:p>
    <w:p w14:paraId="23D72045" w14:textId="77777777" w:rsidR="0071532B" w:rsidRDefault="00847F36">
      <w:pPr>
        <w:spacing w:after="200"/>
        <w:jc w:val="both"/>
      </w:pPr>
      <w:r>
        <w:rPr>
          <w:color w:val="000000"/>
        </w:rPr>
        <w:t>L'investiture du 17 janvier 2026 constitue un acte de communication stratégique majeur. Aux investisseurs internationaux, elle signale un cadre institutionnel stable et un leadership crédible. Aux partenaires bilatéraux, elle démontre une vision cohérente et de long terme. Aux agences de notation, elle fournit des éléments soutenant une amélioration du rating vers le statut d'investissement.</w:t>
      </w:r>
    </w:p>
    <w:p w14:paraId="0EFDB1E3" w14:textId="4F8D28B0" w:rsidR="0071532B" w:rsidRDefault="00847F36">
      <w:pPr>
        <w:spacing w:after="200"/>
        <w:jc w:val="both"/>
      </w:pPr>
      <w:r>
        <w:rPr>
          <w:color w:val="000000"/>
        </w:rPr>
        <w:t xml:space="preserve">Le « Signal du Consensus » (Volume 1, décembre 2025) désigne cette dimension communicationnelle. En théorie des jeux, l'investiture présidentielle constitue un signal coûteux au sens de Spence : elle engage la crédibilité du pouvoir de manière irréversible. </w:t>
      </w:r>
    </w:p>
    <w:p w14:paraId="359E1B7F" w14:textId="77777777" w:rsidR="0071532B" w:rsidRDefault="00847F36">
      <w:pPr>
        <w:spacing w:before="300" w:after="150"/>
      </w:pPr>
      <w:r>
        <w:rPr>
          <w:b/>
          <w:bCs/>
          <w:i/>
          <w:iCs/>
        </w:rPr>
        <w:t>La mobilisation nationale : condition de réussite</w:t>
      </w:r>
    </w:p>
    <w:p w14:paraId="0D919C4D" w14:textId="77777777" w:rsidR="0071532B" w:rsidRDefault="00847F36">
      <w:pPr>
        <w:spacing w:after="200"/>
        <w:jc w:val="both"/>
      </w:pPr>
      <w:r>
        <w:rPr>
          <w:color w:val="000000"/>
        </w:rPr>
        <w:t>Le scénario de consolidation requiert la mobilisation de toutes les forces vives : le secteur public met en œuvre les réformes, le secteur privé investit et crée des emplois, la société civile assure le contrôle démocratique, la diaspora apporte compétences et capitaux.</w:t>
      </w:r>
    </w:p>
    <w:p w14:paraId="157CE958" w14:textId="05CC7249" w:rsidR="0071532B" w:rsidRDefault="00847F36" w:rsidP="009C4EEE">
      <w:pPr>
        <w:spacing w:after="200"/>
        <w:jc w:val="both"/>
      </w:pPr>
      <w:r>
        <w:rPr>
          <w:color w:val="000000"/>
        </w:rPr>
        <w:t>Les jeunes (plus de 60% de la population) constituent la principale ressource stratégique du pays. Leur éducation et insertion professionnelle détermineront la capacité de la Guinée à tirer parti de son « dividende démographique ». L'investissement massif dans la jeunesse annoncé par « Simandou 2040 » répond à cet impératif. C'est l'affaire de tous, le combat d'une génération, l'enjeu vital d'une nation qui forge son propre destin.</w:t>
      </w:r>
    </w:p>
    <w:p w14:paraId="74108884" w14:textId="77777777" w:rsidR="0071532B" w:rsidRDefault="00847F36">
      <w:pPr>
        <w:spacing w:before="400" w:after="200"/>
        <w:jc w:val="center"/>
      </w:pPr>
      <w:r>
        <w:rPr>
          <w:b/>
          <w:bCs/>
          <w:color w:val="0D4D3A"/>
          <w:sz w:val="32"/>
          <w:szCs w:val="32"/>
        </w:rPr>
        <w:t>CONCLUSION</w:t>
      </w:r>
    </w:p>
    <w:p w14:paraId="39522EF5" w14:textId="251C946C" w:rsidR="0071532B" w:rsidRDefault="00847F36">
      <w:pPr>
        <w:spacing w:after="200"/>
        <w:jc w:val="both"/>
      </w:pPr>
      <w:r>
        <w:rPr>
          <w:color w:val="000000"/>
        </w:rPr>
        <w:t xml:space="preserve">Le 17 janvier 2026 restera dans l'histoire de la Guinée comme le jour où la nation a choisi délibérément sa trajectoire. L'investiture de SE le Général Mamadi Doumbouya active les mécanismes du modèle SIGMA et engage le pays sur le chemin du scénario de consolidation - trajectoire analysée en profondeur dans le premier volume de notre série « Le Signal du Consensus », paru en décembre 2025. Les atouts sont réels : un leadership transformationnel et stratégique éprouvé incarnant la Variable L du Paradigme D, un consensus national d'une ampleur exceptionnelle manifesté par le score électoral de 86,72% et le ralliement des forces politiques, une base économique revalorisée par le </w:t>
      </w:r>
      <w:r w:rsidR="009D77E2">
        <w:rPr>
          <w:color w:val="000000"/>
        </w:rPr>
        <w:t>rebasage</w:t>
      </w:r>
      <w:r w:rsidR="004043CF">
        <w:rPr>
          <w:color w:val="000000"/>
        </w:rPr>
        <w:t xml:space="preserve"> </w:t>
      </w:r>
      <w:r>
        <w:rPr>
          <w:color w:val="000000"/>
        </w:rPr>
        <w:t xml:space="preserve"> du PIB à 36,3 milliards USD, une notation souveraine inaugurale S&amp;P B+ ouvrant l'accès aux marchés internationaux, et surtout l'immense potentiel du projet Simandou avec ses 4,7 milliards de tonnes de réserves et ses 15 à 20 milliards USD d'investissements.</w:t>
      </w:r>
    </w:p>
    <w:p w14:paraId="20E04259" w14:textId="0691EF28" w:rsidR="0071532B" w:rsidRDefault="00847F36">
      <w:pPr>
        <w:spacing w:after="200"/>
        <w:jc w:val="both"/>
      </w:pPr>
      <w:r>
        <w:rPr>
          <w:color w:val="000000"/>
        </w:rPr>
        <w:t xml:space="preserve">Les défis sont également considérables : les vulnérabilités identifiées par le diagnostic SIGMA </w:t>
      </w:r>
      <w:r w:rsidR="009D77E2">
        <w:rPr>
          <w:color w:val="000000"/>
        </w:rPr>
        <w:t>-</w:t>
      </w:r>
      <w:r>
        <w:rPr>
          <w:color w:val="000000"/>
        </w:rPr>
        <w:t xml:space="preserve"> réserves de change limitées à 1,2 mois, déficit courant de 19,3%, taux de pauvreté de 43,7%, économie informelle prépondérante </w:t>
      </w:r>
      <w:r w:rsidR="00261D8A">
        <w:rPr>
          <w:color w:val="000000"/>
        </w:rPr>
        <w:t>-</w:t>
      </w:r>
      <w:r>
        <w:rPr>
          <w:color w:val="000000"/>
        </w:rPr>
        <w:t xml:space="preserve"> rappellent l'ampleur du chemin à parcourir. La complexité des réformes institutionnelles, la nécessité de maintenir la cohésion nationale sur la durée, les aléas de la conjoncture internationale constituent autant de facteurs de risque que le scénario de consolidation doit surmonter.</w:t>
      </w:r>
    </w:p>
    <w:p w14:paraId="565E25E6" w14:textId="6412D895" w:rsidR="0071532B" w:rsidRPr="00E61C25" w:rsidRDefault="00847F36">
      <w:pPr>
        <w:spacing w:after="200"/>
        <w:jc w:val="both"/>
        <w:rPr>
          <w:color w:val="000000"/>
        </w:rPr>
      </w:pPr>
      <w:r>
        <w:rPr>
          <w:color w:val="000000"/>
        </w:rPr>
        <w:lastRenderedPageBreak/>
        <w:t>L'analyse développée dans le présent article suggère que les conditions d'un décollage sont aujourd'hui réunies, pour peu que la volonté politique s'inscrive dans la durée et que la mobilisation nationale dépasse les clivages traditionnels. Le modèle SIGMA fournit le cadre analytique permettant de suivre les progrès et d'ajuster les politiques. Le Paradigme D offre la vision intégrée nécessaire à la cohérence de l'action. Les six piliers opérationnels tracent la feuille de route concrète. La gouvernance par prévisibilité qui caractérise le scénario de consolidation signifie que les règles du jeu sont claires, les objectifs définis, les responsabilités établies. Le second volume de la série, « Le Signal du Consensus : Mécanismes de transmission et perspectives stratégiques », paraît dans les semaines à venir et achève la fondation analytique de cette réflexion prospective à l'horizon 2055.</w:t>
      </w:r>
    </w:p>
    <w:p w14:paraId="74E0D306" w14:textId="2FF9729E" w:rsidR="0071532B" w:rsidRDefault="00847F36">
      <w:pPr>
        <w:spacing w:after="200"/>
        <w:jc w:val="both"/>
      </w:pPr>
      <w:r>
        <w:rPr>
          <w:color w:val="000000"/>
        </w:rPr>
        <w:t>Il appartient à chaque Guinéenne et Guinéen de prendre sa place dans cette entreprise collective. Le Champion d'une Nation a activé la Variable L du Paradigme D avec l'énergie, la compétence et la détermination que requiert l'ampleur de la tâche. Le Destin d'un Peuple s'inscrit dans le scénario de consolidation, seule trajectoire capable de conduire la Guinée vers les sommets de l'émergence. Le Signal au Monde a été transmis : la Guinée est prête, la Guinée est organisée, la Guinée avance sous un leadership transformationnel et stratégique qui sait où il va. C'est dans ce cadre que chaque contribution individuelle, aussi modeste soit-elle, s'agrège aux autres pour produire la transformation nationale. Le Signal du Consensus a été émis. Il appartient aux filles et fils de la nation entière d'y répondre.</w:t>
      </w:r>
    </w:p>
    <w:p w14:paraId="700C91A6" w14:textId="3FB9399F" w:rsidR="0071532B" w:rsidRDefault="00847F36">
      <w:pPr>
        <w:spacing w:before="200" w:after="200"/>
        <w:ind w:left="720" w:right="720"/>
        <w:jc w:val="center"/>
      </w:pPr>
      <w:r>
        <w:rPr>
          <w:i/>
          <w:iCs/>
        </w:rPr>
        <w:t>« Le mandat qui m'est confié constitue avant tout un engagement envers les Guinéennes et les Guinéens. »</w:t>
      </w:r>
      <w:r>
        <w:rPr>
          <w:sz w:val="22"/>
          <w:szCs w:val="22"/>
        </w:rPr>
        <w:t xml:space="preserve"> - SE le Général Mamadi Doumbouya, 17 janvier 2026</w:t>
      </w:r>
    </w:p>
    <w:p w14:paraId="7DC1FC17" w14:textId="77777777" w:rsidR="00E41C5A" w:rsidRDefault="00847F36" w:rsidP="00E41C5A">
      <w:pPr>
        <w:spacing w:before="400" w:after="100"/>
        <w:jc w:val="center"/>
      </w:pPr>
      <w:r>
        <w:rPr>
          <w:color w:val="C9A227"/>
          <w:sz w:val="28"/>
          <w:szCs w:val="28"/>
        </w:rPr>
        <w:t>◆ ◆ ◆</w:t>
      </w:r>
    </w:p>
    <w:p w14:paraId="6D7C0699" w14:textId="4AFD9B33" w:rsidR="0071532B" w:rsidRDefault="0071532B" w:rsidP="00E41C5A">
      <w:pPr>
        <w:spacing w:after="200"/>
      </w:pPr>
    </w:p>
    <w:p w14:paraId="152291B6" w14:textId="38615708" w:rsidR="00E66842" w:rsidRDefault="004F416C">
      <w:pPr>
        <w:spacing w:after="50"/>
        <w:jc w:val="center"/>
      </w:pPr>
      <w:r>
        <w:t>We Salute You Mister President</w:t>
      </w:r>
      <w:r w:rsidR="003671A9">
        <w:t>.</w:t>
      </w:r>
    </w:p>
    <w:p w14:paraId="195C5426" w14:textId="58F8F5C5" w:rsidR="00B67950" w:rsidRDefault="00B67950">
      <w:pPr>
        <w:spacing w:after="50"/>
        <w:jc w:val="center"/>
      </w:pPr>
      <w:r>
        <w:t>We are proud to see Guinea move forward under your command</w:t>
      </w:r>
      <w:r w:rsidR="003671A9">
        <w:t>.</w:t>
      </w:r>
    </w:p>
    <w:p w14:paraId="4A1616FD" w14:textId="5A5BF714" w:rsidR="0071532B" w:rsidRDefault="00847F36">
      <w:pPr>
        <w:spacing w:after="50"/>
        <w:jc w:val="center"/>
      </w:pPr>
      <w:r>
        <w:t>God bless the President.</w:t>
      </w:r>
    </w:p>
    <w:p w14:paraId="4C7CC80B" w14:textId="77777777" w:rsidR="0071532B" w:rsidRDefault="00847F36">
      <w:pPr>
        <w:spacing w:after="200"/>
        <w:jc w:val="center"/>
      </w:pPr>
      <w:r>
        <w:t>God bless Guinea.</w:t>
      </w:r>
    </w:p>
    <w:p w14:paraId="6A13298E" w14:textId="77777777" w:rsidR="0071532B" w:rsidRDefault="00847F36">
      <w:pPr>
        <w:spacing w:after="300"/>
        <w:jc w:val="center"/>
      </w:pPr>
      <w:r>
        <w:rPr>
          <w:i/>
          <w:iCs/>
        </w:rPr>
        <w:t>Adama Guilavogui, Ph.D., JD</w:t>
      </w:r>
    </w:p>
    <w:p w14:paraId="7C2E2B70" w14:textId="77777777" w:rsidR="0071532B" w:rsidRDefault="00847F36">
      <w:pPr>
        <w:spacing w:before="200" w:after="100"/>
        <w:jc w:val="center"/>
      </w:pPr>
      <w:r>
        <w:rPr>
          <w:color w:val="C9A227"/>
          <w:sz w:val="20"/>
          <w:szCs w:val="20"/>
        </w:rPr>
        <w:t>━━━━━━━━━━━━━━━━━━━━━━━━━━</w:t>
      </w:r>
    </w:p>
    <w:p w14:paraId="12455563" w14:textId="68DE4F72" w:rsidR="0071532B" w:rsidRDefault="00847F36">
      <w:pPr>
        <w:spacing w:after="300"/>
        <w:jc w:val="both"/>
      </w:pPr>
      <w:r>
        <w:rPr>
          <w:sz w:val="22"/>
          <w:szCs w:val="22"/>
        </w:rPr>
        <w:t>Dr. Adama Z. Guilavogui, PhD, JD, Directeur Exécutif de Supervision à la Fed, est l'architecte du modèle SIGMA (Stabilité Institutionnelle et Gouvernance Macro-financière Appliquée) et du Paradigme D, développés dans l'ouvrage « Le Signal du Consensus : Stabilité institutionnelle et trajectoires macro-financières de la Guinée » (Volume 1, décembre 2025). Ce livre pose les bases analytiques d'une réflexion académique sur le développement de la Guinée</w:t>
      </w:r>
      <w:r w:rsidR="001509C4">
        <w:rPr>
          <w:sz w:val="22"/>
          <w:szCs w:val="22"/>
        </w:rPr>
        <w:t xml:space="preserve"> </w:t>
      </w:r>
      <w:r>
        <w:rPr>
          <w:sz w:val="22"/>
          <w:szCs w:val="22"/>
        </w:rPr>
        <w:t>aux horizons 2040 et 2055. Le second volume du Signal du Consensus - Mécanismes de transmission et perspectives stratégiques - paraît dans les semaines à venir. Ce point de vue est personnel et ne représente pas la position officielle ou l'opinion de la Réserve Fédérale des USA où l'auteur exerce.</w:t>
      </w:r>
    </w:p>
    <w:p w14:paraId="08E96772" w14:textId="77777777" w:rsidR="0071532B" w:rsidRDefault="00847F36">
      <w:r>
        <w:br w:type="page"/>
      </w:r>
    </w:p>
    <w:p w14:paraId="7D3247E4" w14:textId="77777777" w:rsidR="0071532B" w:rsidRDefault="00847F36">
      <w:pPr>
        <w:spacing w:before="400" w:after="200"/>
        <w:jc w:val="center"/>
      </w:pPr>
      <w:r>
        <w:rPr>
          <w:b/>
          <w:bCs/>
          <w:color w:val="0D4D3A"/>
          <w:sz w:val="32"/>
          <w:szCs w:val="32"/>
        </w:rPr>
        <w:lastRenderedPageBreak/>
        <w:t>RÉFÉRENCES</w:t>
      </w:r>
    </w:p>
    <w:p w14:paraId="0CFD00F9" w14:textId="77777777" w:rsidR="0071532B" w:rsidRDefault="00847F36">
      <w:pPr>
        <w:spacing w:after="150"/>
        <w:ind w:left="360" w:hanging="360"/>
        <w:jc w:val="both"/>
      </w:pPr>
      <w:r>
        <w:rPr>
          <w:sz w:val="22"/>
          <w:szCs w:val="22"/>
        </w:rPr>
        <w:t>Acemoglu, D., Johnson, S., &amp; Robinson, J. A. (2001). The colonial origins of comparative development: An empirical investigation. American Economic Review, 91(5), 1369-1401.</w:t>
      </w:r>
    </w:p>
    <w:p w14:paraId="611B0FC5" w14:textId="77777777" w:rsidR="0071532B" w:rsidRDefault="00847F36">
      <w:pPr>
        <w:spacing w:after="150"/>
        <w:ind w:left="360" w:hanging="360"/>
        <w:jc w:val="both"/>
      </w:pPr>
      <w:r>
        <w:rPr>
          <w:sz w:val="22"/>
          <w:szCs w:val="22"/>
        </w:rPr>
        <w:t>Acemoglu, D., &amp; Robinson, J. A. (2012). Why nations fail: The origins of power, prosperity, and poverty. Crown Business.</w:t>
      </w:r>
    </w:p>
    <w:p w14:paraId="6638E510" w14:textId="77777777" w:rsidR="0071532B" w:rsidRDefault="00847F36">
      <w:pPr>
        <w:spacing w:after="150"/>
        <w:ind w:left="360" w:hanging="360"/>
        <w:jc w:val="both"/>
      </w:pPr>
      <w:r>
        <w:rPr>
          <w:sz w:val="22"/>
          <w:szCs w:val="22"/>
        </w:rPr>
        <w:t>Banque Centrale de la République de Guinée. (2024). Rapport annuel 2024. Conakry: BCRG.</w:t>
      </w:r>
    </w:p>
    <w:p w14:paraId="2FB87141" w14:textId="77777777" w:rsidR="0071532B" w:rsidRDefault="00847F36">
      <w:pPr>
        <w:spacing w:after="150"/>
        <w:ind w:left="360" w:hanging="360"/>
        <w:jc w:val="both"/>
      </w:pPr>
      <w:r>
        <w:rPr>
          <w:sz w:val="22"/>
          <w:szCs w:val="22"/>
        </w:rPr>
        <w:t>Edwards, S. (1984). LDC foreign borrowing and default risk: An empirical investigation. American Economic Review, 74(4), 726-734.</w:t>
      </w:r>
    </w:p>
    <w:p w14:paraId="51DD874E" w14:textId="77777777" w:rsidR="0071532B" w:rsidRDefault="00847F36">
      <w:pPr>
        <w:spacing w:after="150"/>
        <w:ind w:left="360" w:hanging="360"/>
        <w:jc w:val="both"/>
      </w:pPr>
      <w:r>
        <w:rPr>
          <w:sz w:val="22"/>
          <w:szCs w:val="22"/>
        </w:rPr>
        <w:t>Fonds Monétaire International. (2024). Guinea: Article IV Consultation. Washington, DC: IMF.</w:t>
      </w:r>
    </w:p>
    <w:p w14:paraId="3A9C9A1F" w14:textId="77777777" w:rsidR="0071532B" w:rsidRDefault="00847F36">
      <w:pPr>
        <w:spacing w:after="150"/>
        <w:ind w:left="360" w:hanging="360"/>
        <w:jc w:val="both"/>
      </w:pPr>
      <w:r>
        <w:rPr>
          <w:sz w:val="22"/>
          <w:szCs w:val="22"/>
        </w:rPr>
        <w:t>Guilavogui, A. Z. (2025). Le Signal du Consensus : Stabilité institutionnelle et trajectoires macro-financières de la Guinée. Volume 1. Modèle SIGMA.</w:t>
      </w:r>
    </w:p>
    <w:p w14:paraId="24D1687C" w14:textId="77777777" w:rsidR="0071532B" w:rsidRDefault="00847F36">
      <w:pPr>
        <w:spacing w:after="150"/>
        <w:ind w:left="360" w:hanging="360"/>
        <w:jc w:val="both"/>
      </w:pPr>
      <w:r>
        <w:rPr>
          <w:sz w:val="22"/>
          <w:szCs w:val="22"/>
        </w:rPr>
        <w:t>Institut National de la Statistique de Guinée. (2024). Comptes nationaux rebasés — Année de base 2018. Conakry: INS.</w:t>
      </w:r>
    </w:p>
    <w:p w14:paraId="10A232FE" w14:textId="77777777" w:rsidR="0071532B" w:rsidRDefault="00847F36">
      <w:pPr>
        <w:spacing w:after="150"/>
        <w:ind w:left="360" w:hanging="360"/>
        <w:jc w:val="both"/>
      </w:pPr>
      <w:r>
        <w:rPr>
          <w:sz w:val="22"/>
          <w:szCs w:val="22"/>
        </w:rPr>
        <w:t>North, D. C. (1990). Institutions, institutional change and economic performance. Cambridge University Press.</w:t>
      </w:r>
    </w:p>
    <w:p w14:paraId="398AFADD" w14:textId="77777777" w:rsidR="0071532B" w:rsidRDefault="00847F36">
      <w:pPr>
        <w:spacing w:after="150"/>
        <w:ind w:left="360" w:hanging="360"/>
        <w:jc w:val="both"/>
      </w:pPr>
      <w:r>
        <w:rPr>
          <w:sz w:val="22"/>
          <w:szCs w:val="22"/>
        </w:rPr>
        <w:t>Ross, M. L. (2015). What have we learned about the resource curse? Annual Review of Political Science, 18, 239-259.</w:t>
      </w:r>
    </w:p>
    <w:p w14:paraId="23C6B9CB" w14:textId="77777777" w:rsidR="0071532B" w:rsidRDefault="00847F36">
      <w:pPr>
        <w:spacing w:after="150"/>
        <w:ind w:left="360" w:hanging="360"/>
        <w:jc w:val="both"/>
      </w:pPr>
      <w:r>
        <w:rPr>
          <w:sz w:val="22"/>
          <w:szCs w:val="22"/>
        </w:rPr>
        <w:t>Sachs, J. D., &amp; Warner, A. M. (1995). Natural resource abundance and economic growth. NBER Working Paper No. 5398.</w:t>
      </w:r>
    </w:p>
    <w:p w14:paraId="19D25B7E" w14:textId="77777777" w:rsidR="0071532B" w:rsidRDefault="00847F36">
      <w:pPr>
        <w:spacing w:after="150"/>
        <w:ind w:left="360" w:hanging="360"/>
        <w:jc w:val="both"/>
      </w:pPr>
      <w:r>
        <w:rPr>
          <w:sz w:val="22"/>
          <w:szCs w:val="22"/>
        </w:rPr>
        <w:t>Schelling, T. C. (1960). The strategy of conflict. Harvard University Press.</w:t>
      </w:r>
    </w:p>
    <w:p w14:paraId="360CB3D6" w14:textId="77777777" w:rsidR="0071532B" w:rsidRDefault="00847F36">
      <w:pPr>
        <w:spacing w:after="150"/>
        <w:ind w:left="360" w:hanging="360"/>
        <w:jc w:val="both"/>
      </w:pPr>
      <w:r>
        <w:rPr>
          <w:sz w:val="22"/>
          <w:szCs w:val="22"/>
        </w:rPr>
        <w:t>Spence, M. (1973). Job market signaling. Quarterly Journal of Economics, 87(3), 355-374.</w:t>
      </w:r>
    </w:p>
    <w:p w14:paraId="205BE206" w14:textId="77777777" w:rsidR="0071532B" w:rsidRDefault="00847F36">
      <w:pPr>
        <w:spacing w:after="150"/>
        <w:ind w:left="360" w:hanging="360"/>
        <w:jc w:val="both"/>
      </w:pPr>
      <w:r>
        <w:rPr>
          <w:sz w:val="22"/>
          <w:szCs w:val="22"/>
        </w:rPr>
        <w:t>Standard &amp; Poor's. (2025). Republic of Guinea — First-time rating: B+/Stable. S&amp;P Global Ratings.</w:t>
      </w:r>
    </w:p>
    <w:p w14:paraId="7FFACC61" w14:textId="77777777" w:rsidR="0071532B" w:rsidRDefault="00847F36">
      <w:pPr>
        <w:spacing w:before="400" w:after="100"/>
        <w:jc w:val="center"/>
      </w:pPr>
      <w:r>
        <w:rPr>
          <w:color w:val="C9A227"/>
          <w:sz w:val="20"/>
          <w:szCs w:val="20"/>
        </w:rPr>
        <w:t>━━━━━━━━━━━━━━━━━━━━━━━━━━</w:t>
      </w:r>
    </w:p>
    <w:p w14:paraId="537F9B06" w14:textId="450E10B9" w:rsidR="0071532B" w:rsidRDefault="0071532B">
      <w:pPr>
        <w:spacing w:after="50"/>
        <w:jc w:val="center"/>
      </w:pPr>
    </w:p>
    <w:sectPr w:rsidR="0071532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A994" w14:textId="77777777" w:rsidR="004E3875" w:rsidRDefault="004E3875">
      <w:r>
        <w:separator/>
      </w:r>
    </w:p>
  </w:endnote>
  <w:endnote w:type="continuationSeparator" w:id="0">
    <w:p w14:paraId="7466E680" w14:textId="77777777" w:rsidR="004E3875" w:rsidRDefault="004E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9B6" w14:textId="0447F811" w:rsidR="0071532B" w:rsidRDefault="00847F36">
    <w:pPr>
      <w:jc w:val="center"/>
    </w:pPr>
    <w:r>
      <w:rPr>
        <w:sz w:val="20"/>
        <w:szCs w:val="20"/>
      </w:rPr>
      <w:t xml:space="preserve">— </w:t>
    </w:r>
    <w:r>
      <w:rPr>
        <w:sz w:val="20"/>
        <w:szCs w:val="20"/>
      </w:rPr>
      <w:fldChar w:fldCharType="begin"/>
    </w:r>
    <w:r>
      <w:rPr>
        <w:sz w:val="20"/>
        <w:szCs w:val="20"/>
      </w:rPr>
      <w:instrText>PAGE</w:instrText>
    </w:r>
    <w:r>
      <w:rPr>
        <w:sz w:val="20"/>
        <w:szCs w:val="20"/>
      </w:rPr>
      <w:fldChar w:fldCharType="separate"/>
    </w:r>
    <w:r w:rsidR="00FF02C1">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C17B" w14:textId="77777777" w:rsidR="004E3875" w:rsidRDefault="004E3875">
      <w:r>
        <w:separator/>
      </w:r>
    </w:p>
  </w:footnote>
  <w:footnote w:type="continuationSeparator" w:id="0">
    <w:p w14:paraId="3633BEAB" w14:textId="77777777" w:rsidR="004E3875" w:rsidRDefault="004E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1554" w14:textId="77777777" w:rsidR="0071532B" w:rsidRDefault="00847F36">
    <w:pPr>
      <w:jc w:val="center"/>
    </w:pPr>
    <w:r>
      <w:rPr>
        <w:i/>
        <w:iCs/>
        <w:color w:val="666666"/>
        <w:sz w:val="20"/>
        <w:szCs w:val="20"/>
      </w:rPr>
      <w:t>Notre Champion, Notre Destin, Notre Signal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354"/>
    <w:multiLevelType w:val="hybridMultilevel"/>
    <w:tmpl w:val="FFFFFFFF"/>
    <w:lvl w:ilvl="0" w:tplc="75A2263C">
      <w:start w:val="1"/>
      <w:numFmt w:val="bullet"/>
      <w:lvlText w:val="●"/>
      <w:lvlJc w:val="left"/>
      <w:pPr>
        <w:ind w:left="720" w:hanging="360"/>
      </w:pPr>
    </w:lvl>
    <w:lvl w:ilvl="1" w:tplc="19481D50">
      <w:start w:val="1"/>
      <w:numFmt w:val="bullet"/>
      <w:lvlText w:val="○"/>
      <w:lvlJc w:val="left"/>
      <w:pPr>
        <w:ind w:left="1440" w:hanging="360"/>
      </w:pPr>
    </w:lvl>
    <w:lvl w:ilvl="2" w:tplc="DB0CFE26">
      <w:start w:val="1"/>
      <w:numFmt w:val="bullet"/>
      <w:lvlText w:val="■"/>
      <w:lvlJc w:val="left"/>
      <w:pPr>
        <w:ind w:left="2160" w:hanging="360"/>
      </w:pPr>
    </w:lvl>
    <w:lvl w:ilvl="3" w:tplc="C2385F9E">
      <w:start w:val="1"/>
      <w:numFmt w:val="bullet"/>
      <w:lvlText w:val="●"/>
      <w:lvlJc w:val="left"/>
      <w:pPr>
        <w:ind w:left="2880" w:hanging="360"/>
      </w:pPr>
    </w:lvl>
    <w:lvl w:ilvl="4" w:tplc="A9C6AC7C">
      <w:start w:val="1"/>
      <w:numFmt w:val="bullet"/>
      <w:lvlText w:val="○"/>
      <w:lvlJc w:val="left"/>
      <w:pPr>
        <w:ind w:left="3600" w:hanging="360"/>
      </w:pPr>
    </w:lvl>
    <w:lvl w:ilvl="5" w:tplc="A0208838">
      <w:start w:val="1"/>
      <w:numFmt w:val="bullet"/>
      <w:lvlText w:val="■"/>
      <w:lvlJc w:val="left"/>
      <w:pPr>
        <w:ind w:left="4320" w:hanging="360"/>
      </w:pPr>
    </w:lvl>
    <w:lvl w:ilvl="6" w:tplc="54A6CEA6">
      <w:start w:val="1"/>
      <w:numFmt w:val="bullet"/>
      <w:lvlText w:val="●"/>
      <w:lvlJc w:val="left"/>
      <w:pPr>
        <w:ind w:left="5040" w:hanging="360"/>
      </w:pPr>
    </w:lvl>
    <w:lvl w:ilvl="7" w:tplc="5708291A">
      <w:start w:val="1"/>
      <w:numFmt w:val="bullet"/>
      <w:lvlText w:val="●"/>
      <w:lvlJc w:val="left"/>
      <w:pPr>
        <w:ind w:left="5760" w:hanging="360"/>
      </w:pPr>
    </w:lvl>
    <w:lvl w:ilvl="8" w:tplc="4EBE3178">
      <w:start w:val="1"/>
      <w:numFmt w:val="bullet"/>
      <w:lvlText w:val="●"/>
      <w:lvlJc w:val="left"/>
      <w:pPr>
        <w:ind w:left="6480" w:hanging="360"/>
      </w:pPr>
    </w:lvl>
  </w:abstractNum>
  <w:num w:numId="1" w16cid:durableId="527330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2B"/>
    <w:rsid w:val="00004BC1"/>
    <w:rsid w:val="00024087"/>
    <w:rsid w:val="000267A6"/>
    <w:rsid w:val="00033B29"/>
    <w:rsid w:val="00051947"/>
    <w:rsid w:val="000702F6"/>
    <w:rsid w:val="00071B33"/>
    <w:rsid w:val="00075581"/>
    <w:rsid w:val="00093517"/>
    <w:rsid w:val="000A264C"/>
    <w:rsid w:val="000C7A1C"/>
    <w:rsid w:val="00127147"/>
    <w:rsid w:val="001509C4"/>
    <w:rsid w:val="0015354A"/>
    <w:rsid w:val="00154B13"/>
    <w:rsid w:val="001557A6"/>
    <w:rsid w:val="00170F84"/>
    <w:rsid w:val="00174978"/>
    <w:rsid w:val="001B34E4"/>
    <w:rsid w:val="001E6FC4"/>
    <w:rsid w:val="0021367C"/>
    <w:rsid w:val="00220277"/>
    <w:rsid w:val="002318CD"/>
    <w:rsid w:val="00256168"/>
    <w:rsid w:val="00261D8A"/>
    <w:rsid w:val="00285CF7"/>
    <w:rsid w:val="002E276A"/>
    <w:rsid w:val="00322F74"/>
    <w:rsid w:val="00337AB0"/>
    <w:rsid w:val="003643A6"/>
    <w:rsid w:val="003671A9"/>
    <w:rsid w:val="00373F04"/>
    <w:rsid w:val="0039031A"/>
    <w:rsid w:val="003A715B"/>
    <w:rsid w:val="003B5873"/>
    <w:rsid w:val="003C5CED"/>
    <w:rsid w:val="003D1699"/>
    <w:rsid w:val="00404249"/>
    <w:rsid w:val="004043CF"/>
    <w:rsid w:val="004376AE"/>
    <w:rsid w:val="004608B3"/>
    <w:rsid w:val="004657A7"/>
    <w:rsid w:val="0049283D"/>
    <w:rsid w:val="004E2C42"/>
    <w:rsid w:val="004E3875"/>
    <w:rsid w:val="004E7831"/>
    <w:rsid w:val="004F25C6"/>
    <w:rsid w:val="004F416C"/>
    <w:rsid w:val="00501A70"/>
    <w:rsid w:val="00517A21"/>
    <w:rsid w:val="00566D78"/>
    <w:rsid w:val="005955BC"/>
    <w:rsid w:val="005A47EA"/>
    <w:rsid w:val="005C0A60"/>
    <w:rsid w:val="00605D69"/>
    <w:rsid w:val="00616648"/>
    <w:rsid w:val="00616D5C"/>
    <w:rsid w:val="00621DF8"/>
    <w:rsid w:val="006964D9"/>
    <w:rsid w:val="0071532B"/>
    <w:rsid w:val="007505CD"/>
    <w:rsid w:val="00752771"/>
    <w:rsid w:val="00782FE0"/>
    <w:rsid w:val="00791783"/>
    <w:rsid w:val="007946F9"/>
    <w:rsid w:val="007F3FF1"/>
    <w:rsid w:val="007F52CF"/>
    <w:rsid w:val="00804B95"/>
    <w:rsid w:val="00827086"/>
    <w:rsid w:val="0084134D"/>
    <w:rsid w:val="00847F36"/>
    <w:rsid w:val="00863E75"/>
    <w:rsid w:val="00894FE9"/>
    <w:rsid w:val="008A0800"/>
    <w:rsid w:val="008A1F60"/>
    <w:rsid w:val="008F1431"/>
    <w:rsid w:val="009039F7"/>
    <w:rsid w:val="0094293D"/>
    <w:rsid w:val="00960FCF"/>
    <w:rsid w:val="009C2A7F"/>
    <w:rsid w:val="009C4EEE"/>
    <w:rsid w:val="009D77E2"/>
    <w:rsid w:val="009E2947"/>
    <w:rsid w:val="00A13CDB"/>
    <w:rsid w:val="00A21852"/>
    <w:rsid w:val="00A74911"/>
    <w:rsid w:val="00AE0A5E"/>
    <w:rsid w:val="00B15FDC"/>
    <w:rsid w:val="00B24097"/>
    <w:rsid w:val="00B536BE"/>
    <w:rsid w:val="00B67950"/>
    <w:rsid w:val="00B774C6"/>
    <w:rsid w:val="00B92A21"/>
    <w:rsid w:val="00BB41BB"/>
    <w:rsid w:val="00C215F3"/>
    <w:rsid w:val="00C66E5D"/>
    <w:rsid w:val="00CF52C1"/>
    <w:rsid w:val="00CF5672"/>
    <w:rsid w:val="00D2433D"/>
    <w:rsid w:val="00D3535B"/>
    <w:rsid w:val="00D40DF1"/>
    <w:rsid w:val="00DC63B7"/>
    <w:rsid w:val="00DC6882"/>
    <w:rsid w:val="00E2102C"/>
    <w:rsid w:val="00E26C9B"/>
    <w:rsid w:val="00E32B49"/>
    <w:rsid w:val="00E41C5A"/>
    <w:rsid w:val="00E46654"/>
    <w:rsid w:val="00E53E9D"/>
    <w:rsid w:val="00E61C00"/>
    <w:rsid w:val="00E61C25"/>
    <w:rsid w:val="00E66842"/>
    <w:rsid w:val="00E71CF7"/>
    <w:rsid w:val="00E90E8B"/>
    <w:rsid w:val="00EE022D"/>
    <w:rsid w:val="00F70C11"/>
    <w:rsid w:val="00F76A0D"/>
    <w:rsid w:val="00F76CB4"/>
    <w:rsid w:val="00F85AD9"/>
    <w:rsid w:val="00FA54FE"/>
    <w:rsid w:val="00FF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F4B69D"/>
  <w15:docId w15:val="{740F1C45-E954-9C44-9D6E-25DDD0B3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Adama Guilavogui</cp:lastModifiedBy>
  <cp:revision>2</cp:revision>
  <dcterms:created xsi:type="dcterms:W3CDTF">2026-01-23T19:05:00Z</dcterms:created>
  <dcterms:modified xsi:type="dcterms:W3CDTF">2026-01-23T19:05:00Z</dcterms:modified>
</cp:coreProperties>
</file>